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EinfAbs"/>
        <w:rPr>
          <w:rFonts w:ascii="Oswald SemiBold" w:hAnsi="Oswald SemiBold" w:cs="Oswald SemiBold"/>
          <w:b/>
          <w:bCs/>
          <w:color w:val="000044"/>
          <w:sz w:val="28"/>
          <w:szCs w:val="28"/>
        </w:rPr>
      </w:pPr>
      <w:r>
        <w:rPr>
          <w:rFonts w:cs="Oswald SemiBold" w:ascii="Oswald SemiBold" w:hAnsi="Oswald SemiBold"/>
          <w:b/>
          <w:bCs/>
          <w:color w:val="000044"/>
          <w:sz w:val="28"/>
          <w:szCs w:val="28"/>
        </w:rPr>
      </w:r>
    </w:p>
    <w:p>
      <w:pPr>
        <w:pStyle w:val="EinfAbs"/>
        <w:rPr>
          <w:rFonts w:ascii="Arial" w:hAnsi="Arial"/>
          <w:b w:val="false"/>
          <w:bCs w:val="false"/>
          <w:sz w:val="28"/>
          <w:szCs w:val="28"/>
        </w:rPr>
      </w:pPr>
      <w:r>
        <w:rPr>
          <w:rFonts w:cs="Oswald" w:ascii="Arial" w:hAnsi="Arial"/>
          <w:b w:val="false"/>
          <w:bCs w:val="false"/>
          <w:color w:val="000044"/>
          <w:sz w:val="28"/>
          <w:szCs w:val="28"/>
        </w:rPr>
        <w:t>Činjenice za netransparentno donošenje novog IHR-a</w:t>
      </w:r>
    </w:p>
    <w:p>
      <w:pPr>
        <w:pStyle w:val="EinfAbs"/>
        <w:rPr>
          <w:rFonts w:ascii="Arial" w:hAnsi="Arial" w:cs="Oswald SemiBold"/>
          <w:b w:val="false"/>
          <w:bCs w:val="false"/>
          <w:color w:val="000044"/>
          <w:sz w:val="22"/>
          <w:szCs w:val="22"/>
        </w:rPr>
      </w:pPr>
      <w:r>
        <w:rPr>
          <w:rFonts w:cs="Oswald SemiBold" w:ascii="Arial" w:hAnsi="Arial"/>
          <w:b w:val="false"/>
          <w:bCs w:val="false"/>
          <w:color w:val="000044"/>
          <w:sz w:val="22"/>
          <w:szCs w:val="22"/>
        </w:rPr>
      </w:r>
    </w:p>
    <w:p>
      <w:pPr>
        <w:pStyle w:val="EinfAbs"/>
        <w:rPr>
          <w:rFonts w:ascii="Arial" w:hAnsi="Arial"/>
          <w:b w:val="false"/>
          <w:bCs w:val="false"/>
          <w:color w:val="000000"/>
          <w:sz w:val="28"/>
          <w:szCs w:val="28"/>
        </w:rPr>
      </w:pPr>
      <w:r>
        <w:rPr>
          <w:rFonts w:cs="Oswald SemiBold" w:ascii="Arial" w:hAnsi="Arial"/>
          <w:b w:val="false"/>
          <w:bCs w:val="false"/>
          <w:color w:val="000000"/>
          <w:sz w:val="28"/>
          <w:szCs w:val="28"/>
        </w:rPr>
        <w:t>1. WHO KRŠI MEĐUNARODNO PRAVO!</w:t>
      </w:r>
    </w:p>
    <w:p>
      <w:pPr>
        <w:pStyle w:val="EinfAbs"/>
        <w:rPr>
          <w:rFonts w:cs="Oswald SemiBold"/>
          <w:color w:val="000044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Glasovanje Svjetske zdravstvene skupštine o Međunarodnim zdravstvenim propisima IHR očito nije provedeno kako treba.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Pravni okvir WHO-a propisuje u članku 55.2 IHR-a da se tekst svake izmjene IHR-a mora dostaviti državama strankama najmanje četiri mjeseca prije glasovanja.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To je jedini način da države imaju dovoljno vremena pregledati promjene za sve pravne, financijske i druge posljedice.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Čisto kršenje međunarodnog prava!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Na Svjetskoj zdravstvenoj skupštini od 27. svibnja do 1. lipnja 2024., šezdeset stranica, složen i mnogo mijenjan ugovor predstavljen je delegatima tek nedugo prije zakazanog glasovanja.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Također se nije glasovalo dizanjem ruke ili pismenim putem s navedenim imenima.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Umjesto toga, predsjedavajući je jednostavno pitao grupu ima li primjedbi.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To znači da građani do danas ne znaju tko je zapravo glasovao za, a tko je možda glasovao protiv izmjena IHR-a.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Povrh svega, ostaje nejasno je li uopće postignuta potrebna prosta većina.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Osobito s tako drastičnim promjenama IHR-a, s mogućim posljedicama za živote svakog pojedinog građanina, transparentnost bi bila glavni prioritet!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Također postoje izvještaji da su predstavnici raznih zemalja bili pod ogromnim pritiskom da glasaju za izmjene IHR-a.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Ako se to pokaže točnim, bio bi to još jedan skandal.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EinfAbs"/>
        <w:rPr>
          <w:rFonts w:ascii="Arial" w:hAnsi="Arial"/>
          <w:b w:val="false"/>
          <w:bCs w:val="false"/>
          <w:color w:val="000000"/>
          <w:sz w:val="28"/>
          <w:szCs w:val="28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</w:rPr>
      </w:r>
    </w:p>
    <w:p>
      <w:pPr>
        <w:pStyle w:val="EinfAbs"/>
        <w:rPr>
          <w:rFonts w:ascii="Arial" w:hAnsi="Arial"/>
          <w:b w:val="false"/>
          <w:bCs w:val="false"/>
          <w:color w:val="000000"/>
          <w:sz w:val="28"/>
          <w:szCs w:val="28"/>
        </w:rPr>
      </w:pPr>
      <w:r>
        <w:rPr>
          <w:rFonts w:cs="Oswald SemiBold" w:ascii="Arial" w:hAnsi="Arial"/>
          <w:b w:val="false"/>
          <w:bCs w:val="false"/>
          <w:color w:val="000000"/>
          <w:sz w:val="28"/>
          <w:szCs w:val="28"/>
        </w:rPr>
        <w:t>2. SVJETSKA ZDRAVSTVENA ORGANIZACIJA UGROŽAVA MINIMALNE STANDARDE VLADAVINE PRAVA!</w:t>
      </w:r>
    </w:p>
    <w:p>
      <w:pPr>
        <w:pStyle w:val="EinfAbs"/>
        <w:rPr>
          <w:rFonts w:cs="Oswald SemiBold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</w:rPr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 SemiBold" w:ascii="Arial" w:hAnsi="Arial"/>
          <w:b w:val="false"/>
          <w:bCs w:val="false"/>
          <w:color w:val="000044"/>
          <w:sz w:val="22"/>
          <w:szCs w:val="22"/>
        </w:rPr>
        <w:t>2.1 IHR ne predviđa nikakva neovisna kontrolna tijela!</w:t>
      </w:r>
    </w:p>
    <w:p>
      <w:pPr>
        <w:pStyle w:val="EinfAbs"/>
        <w:rPr>
          <w:rFonts w:cs="Oswald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Upitne izmjene IHR-a daju generalnom direktoru Tedrosu značajno povećanje ovlasti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Osim „hitnog zdravstvenog stanja od međunarodnog značaja“, tzv. PHEIC (Public Health Emergency of International Concern), sada može proglasiti i pojačani oblik, „pandemijski hitni slučaj“ (čl. 12.).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Poput PHEIC-a, pandemijska hitna situacija vrlo je nejasno definirana i stoga posebno podložna proizvoljnosti.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Nakon što "uoči" hitan slučaj, glavni direktor može upotrijebiti takozvane "preporuke" (članci 15, 18) kako bi pozvao 196 država ugovornica, a time i gotovo sve države u svijetu, da masovno ograniče građanske slobode. Povrh svega, glavni ravnatelj također može pozvati na obvezna cijepljenja.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IHR daje glavnom direktoru određene činjenične kriterije na koje se morao pozvati prilikom proglašavanja izvanrednih situacija (čl. 12.4, Dodatak 2) i davanja preporuka (čl. 17).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Ali: Ne postoji neovisno nadzorno tijelo koje bi preispitivalo tako dalekosežne odluke!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To znači da glavni ravnatelj može proglašavati (pandemijske) “izvanredne situacije” i davati “preporuke” sasvim proizvoljno i bez otkrivanja svojih kriterija odlučivanja, dakle potpuno netransparentno!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Ne mora čak ni slušati svoje povjerenstvo za hitna pitanja čije članove može sam imenovati i smijeniti u bilo kojem trenutku.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Potpuno je neprihvatljivo da se WHO ne pridržava standarda kontrole koji su za slobodne ustavne države samorazumljivi.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Samo iz tog razloga WHO vrši stalni pritisak na države da krše standarde ljudskih prava koji se na njih odnose!</w:t>
      </w:r>
    </w:p>
    <w:p>
      <w:pPr>
        <w:pStyle w:val="EinfAbs"/>
        <w:rPr>
          <w:rFonts w:cs="Oswald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Osim toga, transparentan postupak, npr. po uzoru na Zakon o slobodi pristupa informacijama u Njemačkoj, bio bi prijeko potreban, što znači da bi svi podaci relevantni za odluke morali biti objavljeni!</w:t>
      </w:r>
    </w:p>
    <w:p>
      <w:pPr>
        <w:pStyle w:val="EinfAbs"/>
        <w:rPr>
          <w:rFonts w:ascii="Arial" w:hAnsi="Arial" w:cs="Oswald SemiBold"/>
          <w:b w:val="false"/>
          <w:bCs w:val="false"/>
          <w:color w:val="000044"/>
          <w:sz w:val="22"/>
          <w:szCs w:val="22"/>
        </w:rPr>
      </w:pPr>
      <w:r>
        <w:rPr>
          <w:rFonts w:cs="Oswald SemiBold" w:ascii="Arial" w:hAnsi="Arial"/>
          <w:b w:val="false"/>
          <w:bCs w:val="false"/>
          <w:color w:val="000044"/>
          <w:sz w:val="22"/>
          <w:szCs w:val="22"/>
        </w:rPr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 SemiBold" w:ascii="Arial" w:hAnsi="Arial"/>
          <w:b w:val="false"/>
          <w:bCs w:val="false"/>
          <w:color w:val="000044"/>
          <w:sz w:val="22"/>
          <w:szCs w:val="22"/>
        </w:rPr>
        <w:t>2.2 Ovi IHR ne zaustavljaju korupciju!</w:t>
      </w:r>
    </w:p>
    <w:p>
      <w:pPr>
        <w:pStyle w:val="EinfAbs"/>
        <w:rPr>
          <w:rFonts w:ascii="Arial" w:hAnsi="Arial" w:cs="Oswald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Više od 80% WHO financira se uglavnom namjenskim donacijama, od kojih značajan dio dolazi iz industrije cijepljenja i farmaceutske industrije.</w:t>
      </w:r>
    </w:p>
    <w:p>
      <w:pPr>
        <w:pStyle w:val="EinfAbs"/>
        <w:rPr>
          <w:rFonts w:ascii="Arial" w:hAnsi="Arial" w:cs="Oswald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Prikladno je da su “relevantni zdravstveni proizvodi” u središtu novog IHR-a (članci 1, 13.8, 13.9, 44, 44bis). Također, izjave stručnjaka WHO-a o osobnim sukobima interesa kao i bilo kakvim sigurnosnim problemima, npr. protiv određenih "cjepiva", mogu se držati u tajnosti.</w:t>
      </w:r>
    </w:p>
    <w:p>
      <w:pPr>
        <w:pStyle w:val="EinfAbs"/>
        <w:rPr>
          <w:rFonts w:ascii="Arial" w:hAnsi="Arial" w:cs="Oswald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Ono što je posebno kobno u ovom kontekstu je da WHO nije neovisno praćen.</w:t>
      </w:r>
    </w:p>
    <w:p>
      <w:pPr>
        <w:pStyle w:val="EinfAbs"/>
        <w:rPr>
          <w:rFonts w:ascii="Arial" w:hAnsi="Arial" w:cs="Oswald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To rezultira opipljivim sukobima interesa.</w:t>
      </w:r>
    </w:p>
    <w:p>
      <w:pPr>
        <w:pStyle w:val="EinfAbs"/>
        <w:rPr>
          <w:rFonts w:ascii="Arial" w:hAnsi="Arial" w:cs="Oswald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Stoga se može pretpostaviti da je WHO već dugo pod kontrolom prvenstveno vanjskih lobističkih udruga.</w:t>
      </w:r>
    </w:p>
    <w:p>
      <w:pPr>
        <w:pStyle w:val="EinfAbs"/>
        <w:rPr>
          <w:rFonts w:ascii="Arial" w:hAnsi="Arial" w:cs="Oswald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Drugim riječima: privatni, nevladini sponzori mogu imati ogroman utjecaj na WHO, a posebno na njenog generalnog direktora Tedrosa, tako da on djeluje prvenstveno u njihovom interesu, a ne u interesu zdravlja svjetske populacije!</w:t>
      </w:r>
    </w:p>
    <w:p>
      <w:pPr>
        <w:pStyle w:val="EinfAbs"/>
        <w:rPr>
          <w:rFonts w:cs="Oswald SemiBold"/>
          <w:color w:val="000044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 SemiBold" w:ascii="Arial" w:hAnsi="Arial"/>
          <w:b w:val="false"/>
          <w:bCs w:val="false"/>
          <w:color w:val="000044"/>
          <w:sz w:val="22"/>
          <w:szCs w:val="22"/>
        </w:rPr>
        <w:t>2.3 IHR podriva slobodno pravo na informaciju!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Novi IHR stavlja veliki naglasak na borbu protiv takozvanih "pogrešnih i dezinformacija" (Dodatak 1A.2c i 3.i).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Međutim, nije detaljnije definirano što se pod tim podrazumijeva.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To potkopava slobodan diskurs, koji je posebno važan u znanstvenim pitanjima, kao i slobodu izražavanja i informiranja.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Na taj način WHO osigurava “monopol istine” u zdravstvenim pitanjima koji krši temeljna prava, uključujući pravo na potiskivanje neželjenih mišljenja ili čak glasova stručnjaka na društvenim platformama.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 xml:space="preserve">Kako bi postigao ovaj cilj, WHO je sklopio brojne ugovore s društvenim platformama kao što su Google, Facebook i TikTok. </w:t>
      </w:r>
    </w:p>
    <w:p>
      <w:pPr>
        <w:pStyle w:val="EinfAbs"/>
        <w:rPr>
          <w:rFonts w:ascii="Arial" w:hAnsi="Arial" w:cs="Oswald"/>
          <w:b w:val="false"/>
          <w:bCs w:val="false"/>
          <w:sz w:val="28"/>
          <w:szCs w:val="28"/>
        </w:rPr>
      </w:pPr>
      <w:r>
        <w:rPr>
          <w:rFonts w:cs="Oswald" w:ascii="Arial" w:hAnsi="Arial"/>
          <w:b w:val="false"/>
          <w:bCs w:val="false"/>
          <w:sz w:val="28"/>
          <w:szCs w:val="28"/>
        </w:rPr>
      </w:r>
    </w:p>
    <w:p>
      <w:pPr>
        <w:pStyle w:val="EinfAbs"/>
        <w:rPr>
          <w:rFonts w:ascii="Arial" w:hAnsi="Arial"/>
          <w:b w:val="false"/>
          <w:bCs w:val="false"/>
          <w:color w:val="000000"/>
          <w:sz w:val="28"/>
          <w:szCs w:val="28"/>
        </w:rPr>
      </w:pPr>
      <w:r>
        <w:rPr>
          <w:rFonts w:cs="Oswald SemiBold" w:ascii="Arial" w:hAnsi="Arial"/>
          <w:b w:val="false"/>
          <w:bCs w:val="false"/>
          <w:color w:val="000000"/>
          <w:sz w:val="28"/>
          <w:szCs w:val="28"/>
        </w:rPr>
        <w:t>3. OZBILJNE SUSPUSIJE PROTIV GENERALNOG DIREKTORA TEDROSA</w:t>
      </w:r>
    </w:p>
    <w:p>
      <w:pPr>
        <w:pStyle w:val="EinfAbs"/>
        <w:rPr>
          <w:rFonts w:cs="Oswald SemiBold"/>
          <w:color w:val="000044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EinfAbs"/>
        <w:rPr>
          <w:rFonts w:cs="Oswald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Ako bolje pogledate generalnog direktora Tedrosa Adhanoma Ghebreyesusa i njegovu mračnu prošlost etiopskog ministra, naići ćete na šokantne naslove: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5. lipnja 2017.: Njemačke medicinske novine:: Human Rights Watch optužuje Tedrosa da je kao član vlade odgovoran za raseljavanje tisuća ljudi i ubojstvo stotina pripadnika opozicije.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20. travnja 2020.: Deutsche Welle: “Dr. Tedros” - Kontroverzni šef WHO-a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20. travnja 2020.: Fokus online: “Do danas se protiv bivšeg ministra zdravstva iznose ozbiljne optužbe kada je u pitanju suočavanje s epidemijama.”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21. studenog 2020.: Tisak: Ozbiljne optužbe protiv šefa WHO-a Tedrosa: Također je pokušao isporučiti oružje TPLF-u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18. siječnja 2021.: Fokus, The Times: Ozbiljne optužbe: Kaže se da je šef WHO-a bio umiješan u genocid u Etiopiji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29. rujna 2021.: www.welt.de: Crni dan za WHO: Ozbiljne optužbe za seksualno iskorištavanje</w:t>
      </w:r>
    </w:p>
    <w:p>
      <w:pPr>
        <w:pStyle w:val="EinfAbs"/>
        <w:rPr>
          <w:rFonts w:cs="Oswald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U tom kontekstu, dodatno proširenje autoritarnih ovlasti koje je generalnom direktoru dao novi IHR čini se posebno eksplozivnim i neodgovornim.</w:t>
      </w:r>
    </w:p>
    <w:p>
      <w:pPr>
        <w:pStyle w:val="Normal"/>
        <w:rPr>
          <w:rFonts w:ascii="Arial" w:hAnsi="Arial" w:cs="Oswald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</w:r>
    </w:p>
    <w:p>
      <w:pPr>
        <w:pStyle w:val="EinfAbs"/>
        <w:rPr>
          <w:rFonts w:ascii="Arial" w:hAnsi="Arial"/>
          <w:b w:val="false"/>
          <w:bCs w:val="false"/>
          <w:color w:val="000000"/>
          <w:sz w:val="28"/>
          <w:szCs w:val="28"/>
        </w:rPr>
      </w:pPr>
      <w:r>
        <w:rPr>
          <w:rFonts w:cs="Oswald SemiBold" w:ascii="Arial" w:hAnsi="Arial"/>
          <w:b w:val="false"/>
          <w:bCs w:val="false"/>
          <w:color w:val="000000"/>
          <w:sz w:val="28"/>
          <w:szCs w:val="28"/>
        </w:rPr>
        <w:t>4. KAMPANJA WHO MOŽE IMATI DRAMATIČNE POSLJEDICE PO CIJELO ČOVJEČANSTVO!</w:t>
      </w:r>
    </w:p>
    <w:p>
      <w:pPr>
        <w:pStyle w:val="EinfAbs"/>
        <w:rPr>
          <w:rFonts w:ascii="Arial" w:hAnsi="Arial" w:cs="Oswald"/>
          <w:b w:val="false"/>
          <w:bCs w:val="false"/>
          <w:color w:val="111111"/>
          <w:sz w:val="22"/>
          <w:szCs w:val="22"/>
        </w:rPr>
      </w:pPr>
      <w:r>
        <w:rPr>
          <w:rFonts w:cs="Oswald" w:ascii="Arial" w:hAnsi="Arial"/>
          <w:b w:val="false"/>
          <w:bCs w:val="false"/>
          <w:color w:val="111111"/>
          <w:sz w:val="22"/>
          <w:szCs w:val="22"/>
        </w:rPr>
      </w:r>
    </w:p>
    <w:p>
      <w:pPr>
        <w:pStyle w:val="EinfAbs"/>
        <w:rPr>
          <w:rFonts w:cs="Oswald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U novim člancima 13.8e i 13.9c IHR-a, WHO stavlja poseban naglasak na istraživanje i razvoj u vezi s “relevantnim zdravstvenim proizvodima”.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To se također i prije svega odnosi na vrlo opasne modRNA supstance kao osnovu za razna druga “cjepiva”.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U ovako osmišljenom istraživanju "cjepiva", virusi se umjetno izazivaju da mutiraju u laboratoriju. Stoga su učinjeni opasnijima kako bi se moglo razviti modRNA "cjepiva" protiv njih kao mjera opreza.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Međutim, ovo takozvano istraživanje Gain-of-Function uvijek je povezano s opasnošću da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umjetno modificirani virusi napuštaju laboratorij i time stvaraju (prave) hitne slučajeve.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Nije bez razloga predsjednik SAD-a Obama 2013. godine uveo moratorij na istraživanje Gain-of-Function.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Ali: američki State Department, koji je podržao Wuhan-GoF istraživanje, odobrio je iznimke i time omogućio izbijanje SARS-CoV-2!</w:t>
      </w:r>
    </w:p>
    <w:p>
      <w:pPr>
        <w:pStyle w:val="EinfAbs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Promjene IHR-a stoga mogu rezultirati Coronom 2.0! Konkretno, to bi značilo: dalekosežna ograničenja slobode za milijarde ljudi, npr. policijski sat i obvezno liječenje.</w:t>
      </w:r>
    </w:p>
    <w:p>
      <w:pPr>
        <w:pStyle w:val="EinfAbs"/>
        <w:rPr>
          <w:rFonts w:cs="Oswald"/>
        </w:rPr>
      </w:pPr>
      <w:r>
        <w:rPr>
          <w:rFonts w:cs="Oswald" w:ascii="Arial" w:hAnsi="Arial"/>
          <w:b w:val="false"/>
          <w:bCs w:val="false"/>
          <w:sz w:val="22"/>
          <w:szCs w:val="22"/>
        </w:rPr>
        <w:t>I na kraju, ali ne i najmanje važno, eventualna obvezna cijepljenja vrlo opasnim tvarima koje imaju dokazano visok i potpuno neprihvatljiv profil nuspojava, a već su uzrokovale nemjerljive štete životima i udovima ljudi diljem svijeta.</w:t>
      </w:r>
    </w:p>
    <w:p>
      <w:pPr>
        <w:pStyle w:val="Normal"/>
        <w:spacing w:before="0" w:after="160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nionPro-Regular">
    <w:charset w:val="00"/>
    <w:family w:val="roman"/>
    <w:pitch w:val="variable"/>
  </w:font>
  <w:font w:name="Oswald SemiBold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EinfAbs" w:customStyle="1">
    <w:name w:val="[Einf. Abs.]"/>
    <w:basedOn w:val="Normal"/>
    <w:uiPriority w:val="99"/>
    <w:qFormat/>
    <w:pPr>
      <w:spacing w:lineRule="auto" w:line="288" w:before="0" w:after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KeinAbsatzformat" w:customStyle="1">
    <w:name w:val="[Kein Absatzformat]"/>
    <w:qFormat/>
    <w:pPr>
      <w:widowControl/>
      <w:bidi w:val="0"/>
      <w:spacing w:lineRule="auto" w:line="288" w:before="0" w:after="0"/>
      <w:jc w:val="left"/>
      <w:textAlignment w:val="center"/>
    </w:pPr>
    <w:rPr>
      <w:rFonts w:ascii="MinionPro-Regular" w:hAnsi="MinionPro-Regular" w:cs="MinionPro-Regular" w:eastAsia="Calibri"/>
      <w:color w:val="000000"/>
      <w:kern w:val="0"/>
      <w:sz w:val="24"/>
      <w:szCs w:val="24"/>
      <w:lang w:val="de-DE" w:eastAsia="en-US" w:bidi="ar-SA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LibreOffice/7.6.7.2$Windows_X86_64 LibreOffice_project/dd47e4b30cb7dab30588d6c79c651f218165e3c5</Application>
  <AppVersion>15.0000</AppVersion>
  <Pages>3</Pages>
  <Words>1028</Words>
  <Characters>6165</Characters>
  <CharactersWithSpaces>7135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2024-07-15T20:35:00Z</dcterms:created>
  <dc:creator>Zoe Matten</dc:creator>
  <dc:description/>
  <dc:language>de-DE</dc:language>
  <cp:lastModifiedBy/>
  <dcterms:modified xsi:type="dcterms:W3CDTF">2024-07-19T09:43:58Z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